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B9" w:rsidRPr="00067548" w:rsidRDefault="00E6368C" w:rsidP="00067548">
      <w:pPr>
        <w:jc w:val="center"/>
        <w:rPr>
          <w:b/>
        </w:rPr>
      </w:pPr>
      <w:r w:rsidRPr="00067548">
        <w:rPr>
          <w:b/>
        </w:rPr>
        <w:t>ТЕХНИЧЕСКА СПЕЦИФИКАЦИЯ</w:t>
      </w:r>
    </w:p>
    <w:p w:rsidR="00E6368C" w:rsidRPr="00067548" w:rsidRDefault="00E6368C" w:rsidP="00067548">
      <w:pPr>
        <w:jc w:val="center"/>
        <w:rPr>
          <w:b/>
        </w:rPr>
      </w:pPr>
      <w:r w:rsidRPr="00067548">
        <w:rPr>
          <w:b/>
        </w:rPr>
        <w:t>ЗА</w:t>
      </w:r>
    </w:p>
    <w:p w:rsidR="00C24905" w:rsidRPr="00067548" w:rsidRDefault="00C24905" w:rsidP="00067548">
      <w:pPr>
        <w:jc w:val="center"/>
        <w:rPr>
          <w:b/>
        </w:rPr>
      </w:pPr>
      <w:r w:rsidRPr="00067548">
        <w:rPr>
          <w:b/>
        </w:rPr>
        <w:t xml:space="preserve">МЕТАЛНИ СПЕЦИАЛИЗИРАНИ СЪДОВЕ ЗА СЪБИРАНЕ НА БИТОВИ ОТПАДЪЦИ С ВМЕСТИМОСТ </w:t>
      </w:r>
      <w:r w:rsidR="002B6F9A">
        <w:rPr>
          <w:b/>
        </w:rPr>
        <w:t xml:space="preserve">МИНИМУМ </w:t>
      </w:r>
      <w:r w:rsidRPr="00067548">
        <w:rPr>
          <w:b/>
        </w:rPr>
        <w:t>110 ЛИТРА</w:t>
      </w:r>
    </w:p>
    <w:p w:rsidR="00C24905" w:rsidRDefault="00C24905"/>
    <w:p w:rsidR="00C24905" w:rsidRDefault="00C24905">
      <w:r w:rsidRPr="00067548">
        <w:rPr>
          <w:b/>
        </w:rPr>
        <w:t>ОРИЕНТИРОВЪЧНО КОЛИЧЕСТВО</w:t>
      </w:r>
      <w:r>
        <w:t xml:space="preserve"> – </w:t>
      </w:r>
      <w:r w:rsidR="00F35818">
        <w:t>600</w:t>
      </w:r>
      <w:r w:rsidR="000C4918">
        <w:t xml:space="preserve"> </w:t>
      </w:r>
      <w:r w:rsidR="00CE64D6">
        <w:t>бр.</w:t>
      </w:r>
    </w:p>
    <w:p w:rsidR="00C24905" w:rsidRDefault="00C24905"/>
    <w:p w:rsidR="00C24905" w:rsidRPr="00067548" w:rsidRDefault="00067548">
      <w:pPr>
        <w:rPr>
          <w:b/>
        </w:rPr>
      </w:pPr>
      <w:r w:rsidRPr="00067548">
        <w:rPr>
          <w:b/>
        </w:rPr>
        <w:t>ПРЕДНАЗНАЧЕНИЕ</w:t>
      </w:r>
    </w:p>
    <w:p w:rsidR="00C24905" w:rsidRDefault="00C24905">
      <w:r>
        <w:t>Специализираният съд за събиране на битови отпадъци</w:t>
      </w:r>
      <w:r w:rsidR="00BB03B7">
        <w:t xml:space="preserve"> с вместимост </w:t>
      </w:r>
      <w:r w:rsidR="0045547C">
        <w:t xml:space="preserve">минимум </w:t>
      </w:r>
      <w:r w:rsidR="00BB03B7">
        <w:t>110 литра е предназначен за събиране, временно съхраняване и изсипване на битовите отпадъци със сметосъбиращи машини.</w:t>
      </w:r>
    </w:p>
    <w:p w:rsidR="002E3A3D" w:rsidRPr="00846664" w:rsidRDefault="00BB03B7">
      <w:pPr>
        <w:rPr>
          <w:b/>
        </w:rPr>
      </w:pPr>
      <w:r w:rsidRPr="00067548">
        <w:rPr>
          <w:b/>
        </w:rPr>
        <w:t>ОПИСАНИЕ НА КОНСТРУКЦИЯТА</w:t>
      </w:r>
      <w:r w:rsidR="00846664">
        <w:rPr>
          <w:b/>
        </w:rPr>
        <w:t xml:space="preserve"> - </w:t>
      </w:r>
      <w:r w:rsidR="002E3A3D" w:rsidRPr="00846664">
        <w:rPr>
          <w:b/>
        </w:rPr>
        <w:t>ТЕХНИЧЕСКА ХАРАКТЕРИСТИКА</w:t>
      </w:r>
    </w:p>
    <w:p w:rsidR="002E3A3D" w:rsidRDefault="002E3A3D" w:rsidP="002E3A3D">
      <w:pPr>
        <w:pStyle w:val="ab"/>
        <w:numPr>
          <w:ilvl w:val="0"/>
          <w:numId w:val="1"/>
        </w:numPr>
      </w:pPr>
      <w:r>
        <w:t xml:space="preserve">Вместимост – </w:t>
      </w:r>
      <w:r w:rsidR="00325870">
        <w:t xml:space="preserve">минимум </w:t>
      </w:r>
      <w:r>
        <w:t>110 литра</w:t>
      </w:r>
      <w:r w:rsidR="00846664">
        <w:t>;</w:t>
      </w:r>
    </w:p>
    <w:p w:rsidR="00846664" w:rsidRDefault="00846664" w:rsidP="002E3A3D">
      <w:pPr>
        <w:pStyle w:val="ab"/>
        <w:numPr>
          <w:ilvl w:val="0"/>
          <w:numId w:val="1"/>
        </w:numPr>
      </w:pPr>
      <w:r>
        <w:t>Допустимо натоварване – минимум 75 кг;</w:t>
      </w:r>
    </w:p>
    <w:p w:rsidR="00BB41CE" w:rsidRDefault="00BB41CE" w:rsidP="00BB41CE">
      <w:pPr>
        <w:pStyle w:val="ab"/>
        <w:numPr>
          <w:ilvl w:val="0"/>
          <w:numId w:val="1"/>
        </w:numPr>
      </w:pPr>
      <w:r>
        <w:t>Дебелина – минимум 1,00 мм стоманена ламарина</w:t>
      </w:r>
      <w:r w:rsidRPr="00BB41CE">
        <w:t xml:space="preserve"> марка 08 к.п.</w:t>
      </w:r>
      <w:r>
        <w:t>;</w:t>
      </w:r>
    </w:p>
    <w:p w:rsidR="00BB41CE" w:rsidRDefault="00BB41CE" w:rsidP="00BB41CE">
      <w:pPr>
        <w:pStyle w:val="ab"/>
        <w:numPr>
          <w:ilvl w:val="0"/>
          <w:numId w:val="1"/>
        </w:numPr>
      </w:pPr>
      <w:r>
        <w:t>Покритие – горещо поцинковане</w:t>
      </w:r>
    </w:p>
    <w:p w:rsidR="00846664" w:rsidRDefault="00846664" w:rsidP="002E3A3D">
      <w:pPr>
        <w:pStyle w:val="ab"/>
        <w:numPr>
          <w:ilvl w:val="0"/>
          <w:numId w:val="1"/>
        </w:numPr>
      </w:pPr>
      <w:r>
        <w:t>Отваряне на капака – ръчно;</w:t>
      </w:r>
    </w:p>
    <w:p w:rsidR="00846664" w:rsidRDefault="00846664" w:rsidP="00846664">
      <w:pPr>
        <w:pStyle w:val="ab"/>
        <w:numPr>
          <w:ilvl w:val="0"/>
          <w:numId w:val="1"/>
        </w:numPr>
      </w:pPr>
      <w:r>
        <w:t>Дъно - изтеглено и загънато четирикатно чрез зекване на корпуса;  усилване с допълнителен профилен декоративен обръч</w:t>
      </w:r>
      <w:r w:rsidR="00E2333A">
        <w:t>;</w:t>
      </w:r>
    </w:p>
    <w:p w:rsidR="00846664" w:rsidRDefault="00846664" w:rsidP="00846664">
      <w:pPr>
        <w:pStyle w:val="ab"/>
        <w:numPr>
          <w:ilvl w:val="0"/>
          <w:numId w:val="1"/>
        </w:numPr>
      </w:pPr>
      <w:r>
        <w:t>Капак – изтеглен с перфорация за подсилване;</w:t>
      </w:r>
    </w:p>
    <w:p w:rsidR="00846664" w:rsidRDefault="00846664" w:rsidP="00846664">
      <w:pPr>
        <w:pStyle w:val="ab"/>
        <w:numPr>
          <w:ilvl w:val="0"/>
          <w:numId w:val="1"/>
        </w:numPr>
      </w:pPr>
      <w:r>
        <w:t>Корпус – перфориран /изтеглен/ вертикално с шест профила за устойчивост при експлоатация</w:t>
      </w:r>
      <w:r w:rsidR="00BB41CE">
        <w:t>;</w:t>
      </w:r>
    </w:p>
    <w:p w:rsidR="00846664" w:rsidRDefault="00BB41CE" w:rsidP="00846664">
      <w:pPr>
        <w:pStyle w:val="ab"/>
        <w:numPr>
          <w:ilvl w:val="0"/>
          <w:numId w:val="1"/>
        </w:numPr>
      </w:pPr>
      <w:r>
        <w:t>К</w:t>
      </w:r>
      <w:r w:rsidR="00846664">
        <w:t>онзола, панта и ръ</w:t>
      </w:r>
      <w:r>
        <w:t>кохватки – модулно изтеглени от</w:t>
      </w:r>
      <w:r w:rsidR="00846664">
        <w:t xml:space="preserve"> ламарина</w:t>
      </w:r>
      <w:r>
        <w:t>;</w:t>
      </w:r>
    </w:p>
    <w:p w:rsidR="00846664" w:rsidRDefault="00BB41CE" w:rsidP="00846664">
      <w:pPr>
        <w:pStyle w:val="ab"/>
        <w:numPr>
          <w:ilvl w:val="0"/>
          <w:numId w:val="1"/>
        </w:numPr>
      </w:pPr>
      <w:r>
        <w:t>П</w:t>
      </w:r>
      <w:r w:rsidR="00846664">
        <w:t>рилежащи детайли</w:t>
      </w:r>
      <w:r>
        <w:t xml:space="preserve"> - </w:t>
      </w:r>
      <w:r w:rsidR="00846664">
        <w:t>занитени с подложни шайби и стоманени поп нитове</w:t>
      </w:r>
      <w:r>
        <w:t>;</w:t>
      </w:r>
    </w:p>
    <w:p w:rsidR="002E3A3D" w:rsidRPr="00067548" w:rsidRDefault="002E3A3D" w:rsidP="002E3A3D">
      <w:pPr>
        <w:rPr>
          <w:b/>
        </w:rPr>
      </w:pPr>
      <w:r w:rsidRPr="00067548">
        <w:rPr>
          <w:b/>
        </w:rPr>
        <w:t>СТАНДАРТИ</w:t>
      </w:r>
    </w:p>
    <w:p w:rsidR="002E3A3D" w:rsidRDefault="002E3A3D" w:rsidP="002E3A3D">
      <w:r>
        <w:t xml:space="preserve">Специализираният съд за събиране на битови отпадъци с вместимост </w:t>
      </w:r>
      <w:r w:rsidR="0021625C">
        <w:t xml:space="preserve">минимум </w:t>
      </w:r>
      <w:r>
        <w:t>110 литра да притежава:</w:t>
      </w:r>
    </w:p>
    <w:p w:rsidR="00BB41CE" w:rsidRDefault="002E3A3D" w:rsidP="00BB41CE">
      <w:pPr>
        <w:pStyle w:val="ab"/>
        <w:numPr>
          <w:ilvl w:val="0"/>
          <w:numId w:val="6"/>
        </w:numPr>
      </w:pPr>
      <w:r>
        <w:t>Паспорт на съда с указания за експлоатация и безопасност;</w:t>
      </w:r>
    </w:p>
    <w:p w:rsidR="00BB41CE" w:rsidRDefault="002E3A3D" w:rsidP="00BB41CE">
      <w:pPr>
        <w:pStyle w:val="ab"/>
        <w:numPr>
          <w:ilvl w:val="0"/>
          <w:numId w:val="6"/>
        </w:numPr>
      </w:pPr>
      <w:r>
        <w:t>Сертификат за качество;</w:t>
      </w:r>
    </w:p>
    <w:p w:rsidR="00BB41CE" w:rsidRDefault="002E3A3D" w:rsidP="00BB41CE">
      <w:pPr>
        <w:pStyle w:val="ab"/>
        <w:numPr>
          <w:ilvl w:val="0"/>
          <w:numId w:val="6"/>
        </w:numPr>
      </w:pPr>
      <w:r>
        <w:t>Гаранционна карта.</w:t>
      </w:r>
      <w:r w:rsidR="00BB41CE" w:rsidRPr="00BB41CE">
        <w:t xml:space="preserve"> </w:t>
      </w:r>
    </w:p>
    <w:p w:rsidR="002E3A3D" w:rsidRDefault="002E3A3D" w:rsidP="002E3A3D">
      <w:r>
        <w:t xml:space="preserve">Стандарти, на които да отговаря специализираният съд за събиране на битови отпадъци с вместимост </w:t>
      </w:r>
      <w:r w:rsidR="00AA6965">
        <w:t xml:space="preserve">минимум </w:t>
      </w:r>
      <w:r>
        <w:t>110 литра – касаещи размерите и изискванията за формата, изпълнението и метод на изпитване, изисквания за безопасност, нормите за колите за събиране на отпадъците.</w:t>
      </w:r>
    </w:p>
    <w:p w:rsidR="00BB41CE" w:rsidRDefault="00BB41CE" w:rsidP="00BB41CE">
      <w:pPr>
        <w:pStyle w:val="ab"/>
        <w:numPr>
          <w:ilvl w:val="0"/>
          <w:numId w:val="6"/>
        </w:numPr>
      </w:pPr>
      <w:r>
        <w:t>Обслужване - от всички видове сметосъбиращи машини;</w:t>
      </w:r>
    </w:p>
    <w:p w:rsidR="00BB41CE" w:rsidRDefault="00BB41CE" w:rsidP="00BB41CE">
      <w:pPr>
        <w:pStyle w:val="ab"/>
        <w:numPr>
          <w:ilvl w:val="0"/>
          <w:numId w:val="6"/>
        </w:numPr>
      </w:pPr>
      <w:r>
        <w:t>Габаритни размери - по евронорма;</w:t>
      </w:r>
    </w:p>
    <w:p w:rsidR="00BB41CE" w:rsidRDefault="00BB41CE" w:rsidP="00BB41CE">
      <w:pPr>
        <w:pStyle w:val="ab"/>
        <w:numPr>
          <w:ilvl w:val="0"/>
          <w:numId w:val="6"/>
        </w:numPr>
      </w:pPr>
      <w:r>
        <w:t>Сервиз – да бъде осигурено гаранционно и следгаранционно обслужване.</w:t>
      </w:r>
    </w:p>
    <w:p w:rsidR="00E2333A" w:rsidRDefault="00655E63" w:rsidP="00077700">
      <w:pPr>
        <w:pStyle w:val="ab"/>
        <w:numPr>
          <w:ilvl w:val="0"/>
          <w:numId w:val="6"/>
        </w:numPr>
      </w:pPr>
      <w:r>
        <w:t xml:space="preserve">Изделието да отговаря на всички изисквания на </w:t>
      </w:r>
      <w:r>
        <w:rPr>
          <w:lang w:val="en-US"/>
        </w:rPr>
        <w:t>EN 840 –</w:t>
      </w:r>
      <w:r w:rsidR="00077700">
        <w:rPr>
          <w:lang w:val="en-US"/>
        </w:rPr>
        <w:t xml:space="preserve"> 3: 2004, EN 840 -5: 2004, </w:t>
      </w:r>
      <w:r>
        <w:rPr>
          <w:lang w:val="en-US"/>
        </w:rPr>
        <w:t>EN</w:t>
      </w:r>
      <w:r w:rsidR="00E2333A">
        <w:t xml:space="preserve"> </w:t>
      </w:r>
    </w:p>
    <w:p w:rsidR="00655E63" w:rsidRPr="00077700" w:rsidRDefault="00077700" w:rsidP="00E2333A">
      <w:pPr>
        <w:pStyle w:val="ab"/>
        <w:ind w:left="1080"/>
      </w:pPr>
      <w:r w:rsidRPr="00077700">
        <w:rPr>
          <w:lang w:val="en-US"/>
        </w:rPr>
        <w:t>8</w:t>
      </w:r>
      <w:r w:rsidR="00655E63" w:rsidRPr="00077700">
        <w:rPr>
          <w:lang w:val="en-US"/>
        </w:rPr>
        <w:t xml:space="preserve">40 – 6: </w:t>
      </w:r>
      <w:proofErr w:type="gramStart"/>
      <w:r w:rsidR="00655E63" w:rsidRPr="00077700">
        <w:rPr>
          <w:lang w:val="en-US"/>
        </w:rPr>
        <w:t>2004 ,</w:t>
      </w:r>
      <w:proofErr w:type="gramEnd"/>
      <w:r w:rsidR="00655E63" w:rsidRPr="00077700">
        <w:rPr>
          <w:lang w:val="en-US"/>
        </w:rPr>
        <w:t xml:space="preserve"> ZEK 01.1-08/12.08 ;</w:t>
      </w:r>
    </w:p>
    <w:p w:rsidR="00077700" w:rsidRDefault="00077700" w:rsidP="00077700">
      <w:pPr>
        <w:pStyle w:val="ab"/>
        <w:numPr>
          <w:ilvl w:val="0"/>
          <w:numId w:val="6"/>
        </w:numPr>
      </w:pPr>
      <w:proofErr w:type="spellStart"/>
      <w:r>
        <w:rPr>
          <w:lang w:val="en-US"/>
        </w:rPr>
        <w:t>Ka</w:t>
      </w:r>
      <w:r>
        <w:t>чеството</w:t>
      </w:r>
      <w:proofErr w:type="spellEnd"/>
      <w:r>
        <w:t xml:space="preserve"> на съда да се доказва с представяне на </w:t>
      </w:r>
      <w:r>
        <w:rPr>
          <w:lang w:val="en-US"/>
        </w:rPr>
        <w:t xml:space="preserve">GS </w:t>
      </w:r>
      <w:r>
        <w:t xml:space="preserve">сертификат, който гарантира якост, безопасност и всички геометрични размери. Предоставянето на </w:t>
      </w:r>
      <w:r>
        <w:rPr>
          <w:lang w:val="en-US"/>
        </w:rPr>
        <w:t xml:space="preserve">GS </w:t>
      </w:r>
      <w:r>
        <w:t>сертификат е задължително;</w:t>
      </w:r>
    </w:p>
    <w:p w:rsidR="00077700" w:rsidRDefault="00077700" w:rsidP="00077700">
      <w:pPr>
        <w:pStyle w:val="ab"/>
        <w:numPr>
          <w:ilvl w:val="0"/>
          <w:numId w:val="6"/>
        </w:numPr>
      </w:pPr>
      <w:r>
        <w:lastRenderedPageBreak/>
        <w:t>Допустимо отклонение от габаритните размери  +/ - 10 мм;</w:t>
      </w:r>
    </w:p>
    <w:p w:rsidR="00792265" w:rsidRPr="00792265" w:rsidRDefault="00792265" w:rsidP="00077700">
      <w:pPr>
        <w:pStyle w:val="ab"/>
        <w:numPr>
          <w:ilvl w:val="0"/>
          <w:numId w:val="6"/>
        </w:numPr>
      </w:pPr>
      <w:r>
        <w:t xml:space="preserve">Сертификат за покритие, съгласно стандарт </w:t>
      </w:r>
      <w:r>
        <w:rPr>
          <w:lang w:val="en-US"/>
        </w:rPr>
        <w:t>EN ISO 1461 – 1999;</w:t>
      </w:r>
    </w:p>
    <w:p w:rsidR="00792265" w:rsidRPr="00792265" w:rsidRDefault="00792265" w:rsidP="00077700">
      <w:pPr>
        <w:pStyle w:val="ab"/>
        <w:numPr>
          <w:ilvl w:val="0"/>
          <w:numId w:val="6"/>
        </w:numPr>
      </w:pPr>
      <w:r>
        <w:t xml:space="preserve">Стандарт </w:t>
      </w:r>
      <w:r>
        <w:rPr>
          <w:lang w:val="en-US"/>
        </w:rPr>
        <w:t xml:space="preserve">EN 10025 </w:t>
      </w:r>
      <w:r>
        <w:t xml:space="preserve">за горещо валцоване </w:t>
      </w:r>
      <w:r>
        <w:rPr>
          <w:lang w:val="en-US"/>
        </w:rPr>
        <w:t>S 235JR</w:t>
      </w:r>
    </w:p>
    <w:p w:rsidR="00792265" w:rsidRPr="00792265" w:rsidRDefault="00792265" w:rsidP="00077700">
      <w:pPr>
        <w:pStyle w:val="ab"/>
        <w:numPr>
          <w:ilvl w:val="0"/>
          <w:numId w:val="6"/>
        </w:numPr>
      </w:pPr>
      <w:r>
        <w:t xml:space="preserve">Стандарт </w:t>
      </w:r>
      <w:r>
        <w:rPr>
          <w:lang w:val="en-US"/>
        </w:rPr>
        <w:t>EN 840 – 3: 2004;</w:t>
      </w:r>
    </w:p>
    <w:p w:rsidR="00792265" w:rsidRPr="00792265" w:rsidRDefault="00792265" w:rsidP="00077700">
      <w:pPr>
        <w:pStyle w:val="ab"/>
        <w:numPr>
          <w:ilvl w:val="0"/>
          <w:numId w:val="6"/>
        </w:numPr>
      </w:pPr>
      <w:r>
        <w:t xml:space="preserve">Стандарт </w:t>
      </w:r>
      <w:r>
        <w:rPr>
          <w:lang w:val="en-US"/>
        </w:rPr>
        <w:t>EN 840 – 5: 2004;</w:t>
      </w:r>
    </w:p>
    <w:p w:rsidR="00792265" w:rsidRPr="00792265" w:rsidRDefault="00792265" w:rsidP="00077700">
      <w:pPr>
        <w:pStyle w:val="ab"/>
        <w:numPr>
          <w:ilvl w:val="0"/>
          <w:numId w:val="6"/>
        </w:numPr>
      </w:pPr>
      <w:r>
        <w:t xml:space="preserve">Стандарт </w:t>
      </w:r>
      <w:r>
        <w:rPr>
          <w:lang w:val="en-US"/>
        </w:rPr>
        <w:t>EN 840 – 6: 2004;</w:t>
      </w:r>
    </w:p>
    <w:p w:rsidR="00792265" w:rsidRPr="00792265" w:rsidRDefault="00792265" w:rsidP="00077700">
      <w:pPr>
        <w:pStyle w:val="ab"/>
        <w:numPr>
          <w:ilvl w:val="0"/>
          <w:numId w:val="6"/>
        </w:numPr>
      </w:pPr>
      <w:r>
        <w:rPr>
          <w:lang w:val="en-US"/>
        </w:rPr>
        <w:t>ZEK 01.1-08 / 12.08</w:t>
      </w:r>
    </w:p>
    <w:p w:rsidR="00792265" w:rsidRDefault="00792265" w:rsidP="00792265">
      <w:pPr>
        <w:pStyle w:val="ab"/>
        <w:ind w:left="1080"/>
      </w:pPr>
    </w:p>
    <w:p w:rsidR="00792265" w:rsidRPr="00792265" w:rsidRDefault="00792265" w:rsidP="00792265">
      <w:pPr>
        <w:rPr>
          <w:b/>
        </w:rPr>
      </w:pPr>
      <w:r w:rsidRPr="00792265">
        <w:rPr>
          <w:b/>
        </w:rPr>
        <w:t>ДОПЪЛНИТЕЛНИ ИЗИСКВАНИЯ</w:t>
      </w:r>
    </w:p>
    <w:p w:rsidR="00077700" w:rsidRPr="00792265" w:rsidRDefault="00792265" w:rsidP="00792265">
      <w:pPr>
        <w:pStyle w:val="ab"/>
        <w:numPr>
          <w:ilvl w:val="0"/>
          <w:numId w:val="6"/>
        </w:numPr>
        <w:rPr>
          <w:i w:val="0"/>
        </w:rPr>
      </w:pPr>
      <w:r>
        <w:rPr>
          <w:i w:val="0"/>
        </w:rPr>
        <w:t>На всяка една от страните на съда да има минимум по една дръжка за захващане;</w:t>
      </w:r>
    </w:p>
    <w:p w:rsidR="00077700" w:rsidRDefault="00077700" w:rsidP="00077700"/>
    <w:p w:rsidR="00BB41CE" w:rsidRDefault="00BB41CE">
      <w:r>
        <w:br w:type="page"/>
      </w:r>
    </w:p>
    <w:p w:rsidR="00067548" w:rsidRDefault="00067548"/>
    <w:p w:rsidR="00067548" w:rsidRPr="00067548" w:rsidRDefault="00067548" w:rsidP="00067548">
      <w:pPr>
        <w:jc w:val="center"/>
        <w:rPr>
          <w:b/>
        </w:rPr>
      </w:pPr>
      <w:r w:rsidRPr="00067548">
        <w:rPr>
          <w:b/>
        </w:rPr>
        <w:t>ТЕХНИЧЕСКА СПЕЦИФИКАЦИЯ</w:t>
      </w:r>
    </w:p>
    <w:p w:rsidR="00067548" w:rsidRPr="00067548" w:rsidRDefault="00067548" w:rsidP="00067548">
      <w:pPr>
        <w:jc w:val="center"/>
        <w:rPr>
          <w:b/>
        </w:rPr>
      </w:pPr>
      <w:r w:rsidRPr="00067548">
        <w:rPr>
          <w:b/>
        </w:rPr>
        <w:t>ЗА</w:t>
      </w:r>
    </w:p>
    <w:p w:rsidR="00067548" w:rsidRPr="00067548" w:rsidRDefault="00067548" w:rsidP="00067548">
      <w:pPr>
        <w:jc w:val="center"/>
        <w:rPr>
          <w:b/>
        </w:rPr>
      </w:pPr>
      <w:r w:rsidRPr="00067548">
        <w:rPr>
          <w:b/>
        </w:rPr>
        <w:t>МЕТАЛНИ СПЕЦИАЛИЗИРАНИ СЪДОВЕ ЗА СЪБИРАНЕ НА БИТОВИ ОТПАДЪЦИ С ВМЕСТИМОСТ</w:t>
      </w:r>
      <w:r w:rsidR="00CA44D9">
        <w:rPr>
          <w:rFonts w:cstheme="minorHAnsi"/>
          <w:b/>
        </w:rPr>
        <w:t xml:space="preserve"> МИНИМУМ</w:t>
      </w:r>
      <w:r w:rsidRPr="00067548">
        <w:rPr>
          <w:b/>
        </w:rPr>
        <w:t xml:space="preserve"> 110</w:t>
      </w:r>
      <w:r>
        <w:rPr>
          <w:b/>
        </w:rPr>
        <w:t>0</w:t>
      </w:r>
      <w:r w:rsidRPr="00067548">
        <w:rPr>
          <w:b/>
        </w:rPr>
        <w:t xml:space="preserve"> ЛИТРА</w:t>
      </w:r>
    </w:p>
    <w:p w:rsidR="00067548" w:rsidRDefault="00067548" w:rsidP="00067548"/>
    <w:p w:rsidR="00067548" w:rsidRDefault="00067548" w:rsidP="00067548">
      <w:r w:rsidRPr="00067548">
        <w:rPr>
          <w:b/>
        </w:rPr>
        <w:t>ОРИЕНТИРОВЪЧНО КОЛИЧЕСТВО</w:t>
      </w:r>
      <w:r>
        <w:t xml:space="preserve"> – </w:t>
      </w:r>
      <w:r w:rsidR="009B1250">
        <w:t xml:space="preserve">26 броя </w:t>
      </w:r>
    </w:p>
    <w:p w:rsidR="00067548" w:rsidRDefault="00067548" w:rsidP="00067548"/>
    <w:p w:rsidR="00067548" w:rsidRPr="00067548" w:rsidRDefault="00067548" w:rsidP="00A82B39">
      <w:pPr>
        <w:ind w:firstLine="708"/>
        <w:rPr>
          <w:b/>
        </w:rPr>
      </w:pPr>
      <w:r w:rsidRPr="00067548">
        <w:rPr>
          <w:b/>
        </w:rPr>
        <w:t>ПРЕДНАЗНАЧЕНИЕ</w:t>
      </w:r>
    </w:p>
    <w:p w:rsidR="00067548" w:rsidRDefault="00067548" w:rsidP="00067548">
      <w:r>
        <w:t xml:space="preserve">Специализираният съд за събиране на битови отпадъци с вместимост </w:t>
      </w:r>
      <w:r w:rsidR="0094422B">
        <w:t xml:space="preserve">минимум </w:t>
      </w:r>
      <w:r>
        <w:t>1100 литра е предназначен за събиране, временно съхраняване и изсипване на битовите отпадъци със сметосъбиращи машини.</w:t>
      </w:r>
    </w:p>
    <w:p w:rsidR="00067548" w:rsidRPr="00846664" w:rsidRDefault="00067548" w:rsidP="00846664">
      <w:pPr>
        <w:ind w:firstLine="708"/>
        <w:rPr>
          <w:b/>
        </w:rPr>
      </w:pPr>
      <w:r w:rsidRPr="00067548">
        <w:rPr>
          <w:b/>
        </w:rPr>
        <w:t>ОПИСАНИЕ НА КОНСТРУКЦИЯТА</w:t>
      </w:r>
      <w:r w:rsidR="00846664">
        <w:rPr>
          <w:b/>
        </w:rPr>
        <w:t xml:space="preserve"> - </w:t>
      </w:r>
      <w:r w:rsidRPr="00846664">
        <w:rPr>
          <w:b/>
        </w:rPr>
        <w:t>ТЕХНИЧЕСКА ХАРАКТЕРИСТИКА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Вместимост</w:t>
      </w:r>
      <w:r>
        <w:t xml:space="preserve"> </w:t>
      </w:r>
      <w:r w:rsidR="00846664">
        <w:t>–</w:t>
      </w:r>
      <w:r>
        <w:t xml:space="preserve"> </w:t>
      </w:r>
      <w:r w:rsidR="009A1ABC">
        <w:t xml:space="preserve">минимум </w:t>
      </w:r>
      <w:r>
        <w:t>1100 л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Габаритни  размери</w:t>
      </w:r>
      <w:r>
        <w:t xml:space="preserve"> </w:t>
      </w:r>
      <w:r w:rsidR="00846664">
        <w:t>–</w:t>
      </w:r>
      <w:r>
        <w:t xml:space="preserve"> 1370х1070х1440 +/- 10мм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Вид на стоманената  ламарина</w:t>
      </w:r>
      <w:r>
        <w:t xml:space="preserve"> -</w:t>
      </w:r>
      <w:r w:rsidR="00846664">
        <w:t>–</w:t>
      </w:r>
      <w:r w:rsidR="00F83A7D">
        <w:t xml:space="preserve">  г</w:t>
      </w:r>
      <w:r>
        <w:t>орещо-валцована S235 JR,</w:t>
      </w:r>
      <w:r w:rsidR="00846664">
        <w:t xml:space="preserve"> </w:t>
      </w:r>
      <w:r>
        <w:t>съгласноEN10025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Конструкция</w:t>
      </w:r>
      <w:r>
        <w:t xml:space="preserve"> </w:t>
      </w:r>
      <w:r w:rsidR="00846664">
        <w:t>–</w:t>
      </w:r>
      <w:r w:rsidR="00F83A7D">
        <w:t xml:space="preserve"> д</w:t>
      </w:r>
      <w:r>
        <w:t>ебелина на стоманената ламарина на корпуса не по-малка от 1,8 мм</w:t>
      </w:r>
      <w:r w:rsidR="00846664">
        <w:t>;</w:t>
      </w:r>
      <w:r>
        <w:t xml:space="preserve"> 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Брой капаци</w:t>
      </w:r>
      <w:r>
        <w:t xml:space="preserve"> – 1бр. капак, </w:t>
      </w:r>
      <w:r w:rsidR="005542C8">
        <w:t>с дебелина на ламарината 1,5мм,</w:t>
      </w:r>
      <w:r>
        <w:t>като същия завършва с гумена лента,с оглед безопасността на гражданите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Буфери</w:t>
      </w:r>
      <w:r w:rsidRPr="00EE5273">
        <w:t xml:space="preserve"> </w:t>
      </w:r>
      <w:r w:rsidR="00846664">
        <w:t>–</w:t>
      </w:r>
      <w:r w:rsidR="00F83A7D">
        <w:t xml:space="preserve"> с</w:t>
      </w:r>
      <w:r>
        <w:t xml:space="preserve"> дебелина на ламарината -  3,0 мм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Рамо</w:t>
      </w:r>
      <w:r w:rsidRPr="00EE5273">
        <w:t xml:space="preserve"> </w:t>
      </w:r>
      <w:r>
        <w:t>-  3,0 мм</w:t>
      </w:r>
      <w:r w:rsidR="00846664">
        <w:t>;</w:t>
      </w:r>
    </w:p>
    <w:p w:rsidR="00846664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Конзоли</w:t>
      </w:r>
      <w:r w:rsidRPr="00EE5273">
        <w:t xml:space="preserve"> </w:t>
      </w:r>
      <w:r>
        <w:t xml:space="preserve">- </w:t>
      </w:r>
      <w:r w:rsidR="00846664">
        <w:t xml:space="preserve"> 4,0 мм;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Начин на отваряне на капака</w:t>
      </w:r>
      <w:r>
        <w:t xml:space="preserve"> </w:t>
      </w:r>
      <w:r w:rsidR="00846664">
        <w:t>–</w:t>
      </w:r>
      <w:r w:rsidR="00F83A7D">
        <w:t xml:space="preserve"> р</w:t>
      </w:r>
      <w:r>
        <w:t>ъчно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Посока на отваряне на капака</w:t>
      </w:r>
      <w:r w:rsidR="008916E2">
        <w:t xml:space="preserve"> - з</w:t>
      </w:r>
      <w:r>
        <w:t>адвижван назад на рамена със скрити пружини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Покритие</w:t>
      </w:r>
      <w:r>
        <w:t xml:space="preserve"> - Горещо поцинковане - минимум 65 микрона.</w:t>
      </w:r>
      <w:r w:rsidRPr="00EE5273">
        <w:t xml:space="preserve"> </w:t>
      </w:r>
      <w:r>
        <w:t xml:space="preserve">Горещото поцинковане да се извърши след всички заварки със сертификат за покритие, съгласно EN ISO 1461 </w:t>
      </w:r>
      <w:r w:rsidR="00846664">
        <w:t>–</w:t>
      </w:r>
      <w:r>
        <w:t xml:space="preserve"> 1999</w:t>
      </w:r>
      <w:r w:rsidR="00846664">
        <w:t>;</w:t>
      </w:r>
    </w:p>
    <w:p w:rsidR="00EE5273" w:rsidRDefault="00EE5273" w:rsidP="00BB41CE">
      <w:pPr>
        <w:pStyle w:val="ab"/>
        <w:numPr>
          <w:ilvl w:val="0"/>
          <w:numId w:val="7"/>
        </w:numPr>
        <w:spacing w:after="0"/>
      </w:pPr>
      <w:r w:rsidRPr="00BB41CE">
        <w:rPr>
          <w:b/>
        </w:rPr>
        <w:t>Брой на опорните колела</w:t>
      </w:r>
      <w:r>
        <w:t xml:space="preserve"> - 4 броя,</w:t>
      </w:r>
      <w:r w:rsidR="008916E2">
        <w:t xml:space="preserve"> </w:t>
      </w:r>
      <w:r>
        <w:t>Ф</w:t>
      </w:r>
      <w:r w:rsidR="008916E2">
        <w:t xml:space="preserve"> </w:t>
      </w:r>
      <w:r>
        <w:t>200; като 2 броя от тях да бъдат с блокираща спирачна система</w:t>
      </w:r>
      <w:r w:rsidR="00B30BDA">
        <w:t>.</w:t>
      </w:r>
    </w:p>
    <w:p w:rsidR="00846664" w:rsidRDefault="00846664" w:rsidP="00A82B39">
      <w:pPr>
        <w:ind w:firstLine="708"/>
        <w:rPr>
          <w:b/>
        </w:rPr>
      </w:pPr>
    </w:p>
    <w:p w:rsidR="00067548" w:rsidRPr="00067548" w:rsidRDefault="00067548" w:rsidP="00A82B39">
      <w:pPr>
        <w:ind w:firstLine="708"/>
        <w:rPr>
          <w:b/>
        </w:rPr>
      </w:pPr>
      <w:r w:rsidRPr="00067548">
        <w:rPr>
          <w:b/>
        </w:rPr>
        <w:t>СТАНДАРТИ</w:t>
      </w:r>
    </w:p>
    <w:p w:rsidR="00067548" w:rsidRDefault="00067548" w:rsidP="00067548">
      <w:r>
        <w:t xml:space="preserve">Специализираният съд за събиране на битови отпадъци с вместимост </w:t>
      </w:r>
      <w:r w:rsidR="002B04B0">
        <w:t>минимум</w:t>
      </w:r>
      <w:r w:rsidR="000E3C50">
        <w:t xml:space="preserve"> </w:t>
      </w:r>
      <w:r>
        <w:t>11</w:t>
      </w:r>
      <w:r w:rsidR="005C2255">
        <w:t>0</w:t>
      </w:r>
      <w:r>
        <w:t>0 литра да притежава:</w:t>
      </w:r>
    </w:p>
    <w:p w:rsidR="00067548" w:rsidRDefault="00067548" w:rsidP="00067548">
      <w:pPr>
        <w:pStyle w:val="ab"/>
        <w:numPr>
          <w:ilvl w:val="0"/>
          <w:numId w:val="2"/>
        </w:numPr>
      </w:pPr>
      <w:r>
        <w:t>Паспорт на съда с указания за експлоатация и безопасност;</w:t>
      </w:r>
    </w:p>
    <w:p w:rsidR="00067548" w:rsidRDefault="00067548" w:rsidP="00067548">
      <w:pPr>
        <w:pStyle w:val="ab"/>
        <w:numPr>
          <w:ilvl w:val="0"/>
          <w:numId w:val="2"/>
        </w:numPr>
      </w:pPr>
      <w:r>
        <w:t>Сертификат за качество;</w:t>
      </w:r>
    </w:p>
    <w:p w:rsidR="00067548" w:rsidRDefault="00067548" w:rsidP="00067548">
      <w:pPr>
        <w:pStyle w:val="ab"/>
        <w:numPr>
          <w:ilvl w:val="0"/>
          <w:numId w:val="2"/>
        </w:numPr>
      </w:pPr>
      <w:r>
        <w:t>Гаранционна карта.</w:t>
      </w:r>
    </w:p>
    <w:p w:rsidR="00067548" w:rsidRDefault="00067548" w:rsidP="00067548">
      <w:r>
        <w:t xml:space="preserve">Стандарти, на които да отговаря специализираният съд за събиране на битови отпадъци с вместимост </w:t>
      </w:r>
      <w:r w:rsidR="0001787C">
        <w:t xml:space="preserve">минимум </w:t>
      </w:r>
      <w:bookmarkStart w:id="0" w:name="_GoBack"/>
      <w:bookmarkEnd w:id="0"/>
      <w:r>
        <w:t>11</w:t>
      </w:r>
      <w:r w:rsidR="005502B8">
        <w:t>0</w:t>
      </w:r>
      <w:r>
        <w:t>0 литра – касаещи размерите и изискванията за формата, изпълнението и метод на изпитване, изисквания за безопасност, нормите за колите за събиране на отпадъц</w:t>
      </w:r>
      <w:r w:rsidR="009D390F">
        <w:t>и.</w:t>
      </w:r>
    </w:p>
    <w:p w:rsidR="009D390F" w:rsidRDefault="009D390F" w:rsidP="009D390F">
      <w:pPr>
        <w:pStyle w:val="ab"/>
        <w:numPr>
          <w:ilvl w:val="0"/>
          <w:numId w:val="2"/>
        </w:numPr>
      </w:pPr>
      <w:r>
        <w:t xml:space="preserve">Обслужване – от всички видове </w:t>
      </w:r>
      <w:proofErr w:type="spellStart"/>
      <w:r>
        <w:t>сметосъбиращи</w:t>
      </w:r>
      <w:proofErr w:type="spellEnd"/>
      <w:r>
        <w:t xml:space="preserve"> машини;</w:t>
      </w:r>
    </w:p>
    <w:p w:rsidR="009D390F" w:rsidRDefault="009D390F" w:rsidP="009D390F">
      <w:pPr>
        <w:pStyle w:val="ab"/>
        <w:numPr>
          <w:ilvl w:val="0"/>
          <w:numId w:val="2"/>
        </w:numPr>
      </w:pPr>
      <w:r>
        <w:t xml:space="preserve">Габаритни размери – по </w:t>
      </w:r>
      <w:proofErr w:type="spellStart"/>
      <w:r>
        <w:t>евронорма</w:t>
      </w:r>
      <w:proofErr w:type="spellEnd"/>
      <w:r>
        <w:t>;</w:t>
      </w:r>
    </w:p>
    <w:p w:rsidR="009D390F" w:rsidRDefault="009D390F" w:rsidP="009D390F">
      <w:pPr>
        <w:pStyle w:val="ab"/>
        <w:numPr>
          <w:ilvl w:val="0"/>
          <w:numId w:val="2"/>
        </w:numPr>
      </w:pPr>
      <w:r>
        <w:lastRenderedPageBreak/>
        <w:t>Сервиз – да бъде осигурено гаранционно и следгаранционно обслужване;</w:t>
      </w:r>
    </w:p>
    <w:p w:rsidR="009D390F" w:rsidRDefault="009D390F" w:rsidP="00067548"/>
    <w:p w:rsidR="00EE5273" w:rsidRDefault="00EE5273" w:rsidP="00EE5273">
      <w:pPr>
        <w:pStyle w:val="ab"/>
        <w:numPr>
          <w:ilvl w:val="0"/>
          <w:numId w:val="2"/>
        </w:numPr>
      </w:pPr>
      <w:r>
        <w:t>Изделието да отговаря на всички изисквания на EN 840-3:2004; EN 840-5:2004, EN 840-6:2004, ZEK 01.2-08/12.08;</w:t>
      </w:r>
    </w:p>
    <w:p w:rsidR="00EE5273" w:rsidRDefault="004679B9" w:rsidP="00EE5273">
      <w:pPr>
        <w:pStyle w:val="ab"/>
        <w:numPr>
          <w:ilvl w:val="0"/>
          <w:numId w:val="2"/>
        </w:numPr>
      </w:pPr>
      <w:r>
        <w:t>Качеството на съда</w:t>
      </w:r>
      <w:r w:rsidR="00EE5273">
        <w:t xml:space="preserve"> да се доказва с представяне на GS сертификат,който гарантира якост,безопасност и всички геометрични размери. Представянето на GS сертификат е задължително.</w:t>
      </w:r>
    </w:p>
    <w:p w:rsidR="00846664" w:rsidRDefault="00846664" w:rsidP="00846664">
      <w:pPr>
        <w:pStyle w:val="ab"/>
        <w:numPr>
          <w:ilvl w:val="0"/>
          <w:numId w:val="2"/>
        </w:numPr>
      </w:pPr>
      <w:r>
        <w:t>Допустимо отклонение от габаритните размери +/- 10 мм;</w:t>
      </w:r>
    </w:p>
    <w:p w:rsidR="00846664" w:rsidRPr="008A1045" w:rsidRDefault="00846664" w:rsidP="00846664">
      <w:pPr>
        <w:pStyle w:val="ab"/>
        <w:numPr>
          <w:ilvl w:val="0"/>
          <w:numId w:val="2"/>
        </w:numPr>
      </w:pPr>
      <w:r>
        <w:t xml:space="preserve">Сертификат за покритие, съгласно стандарт </w:t>
      </w:r>
      <w:r>
        <w:rPr>
          <w:lang w:val="en-US"/>
        </w:rPr>
        <w:t>EN ISO 1461-1999;</w:t>
      </w:r>
    </w:p>
    <w:p w:rsidR="00846664" w:rsidRPr="008A1045" w:rsidRDefault="00846664" w:rsidP="00846664">
      <w:pPr>
        <w:pStyle w:val="ab"/>
        <w:numPr>
          <w:ilvl w:val="0"/>
          <w:numId w:val="2"/>
        </w:numPr>
      </w:pPr>
      <w:r>
        <w:t>Стандарт Е</w:t>
      </w:r>
      <w:r>
        <w:rPr>
          <w:lang w:val="en-US"/>
        </w:rPr>
        <w:t>N</w:t>
      </w:r>
      <w:r>
        <w:t xml:space="preserve">10025 за горещо валцована </w:t>
      </w:r>
      <w:r>
        <w:rPr>
          <w:lang w:val="en-US"/>
        </w:rPr>
        <w:t>S</w:t>
      </w:r>
      <w:r w:rsidR="00137E77">
        <w:t xml:space="preserve"> </w:t>
      </w:r>
      <w:r>
        <w:rPr>
          <w:lang w:val="en-US"/>
        </w:rPr>
        <w:t>235 JR;</w:t>
      </w:r>
    </w:p>
    <w:p w:rsidR="00846664" w:rsidRPr="008A1045" w:rsidRDefault="00846664" w:rsidP="00846664">
      <w:pPr>
        <w:pStyle w:val="ab"/>
        <w:numPr>
          <w:ilvl w:val="0"/>
          <w:numId w:val="2"/>
        </w:numPr>
      </w:pPr>
      <w:r>
        <w:t>Стандарт</w:t>
      </w:r>
      <w:r w:rsidRPr="008A1045">
        <w:rPr>
          <w:lang w:val="en-US"/>
        </w:rPr>
        <w:t xml:space="preserve"> EN 840-3:2004;</w:t>
      </w:r>
    </w:p>
    <w:p w:rsidR="00846664" w:rsidRPr="008A1045" w:rsidRDefault="00846664" w:rsidP="00846664">
      <w:pPr>
        <w:pStyle w:val="ab"/>
        <w:numPr>
          <w:ilvl w:val="0"/>
          <w:numId w:val="2"/>
        </w:numPr>
      </w:pPr>
      <w:r>
        <w:t>Стандарт</w:t>
      </w:r>
      <w:r>
        <w:rPr>
          <w:lang w:val="en-US"/>
        </w:rPr>
        <w:t xml:space="preserve"> EN 840-5:2004;</w:t>
      </w:r>
    </w:p>
    <w:p w:rsidR="00846664" w:rsidRPr="008A1045" w:rsidRDefault="00846664" w:rsidP="00846664">
      <w:pPr>
        <w:pStyle w:val="ab"/>
        <w:numPr>
          <w:ilvl w:val="0"/>
          <w:numId w:val="2"/>
        </w:numPr>
      </w:pPr>
      <w:r>
        <w:t>Стандарт</w:t>
      </w:r>
      <w:r>
        <w:rPr>
          <w:lang w:val="en-US"/>
        </w:rPr>
        <w:t xml:space="preserve"> EN 840-6:2004;</w:t>
      </w:r>
    </w:p>
    <w:p w:rsidR="00846664" w:rsidRPr="008A1045" w:rsidRDefault="00846664" w:rsidP="00846664">
      <w:pPr>
        <w:pStyle w:val="ab"/>
        <w:numPr>
          <w:ilvl w:val="0"/>
          <w:numId w:val="2"/>
        </w:numPr>
      </w:pPr>
      <w:r>
        <w:t>Стандарт</w:t>
      </w:r>
      <w:r>
        <w:rPr>
          <w:lang w:val="en-US"/>
        </w:rPr>
        <w:t xml:space="preserve"> ZEK 01.2-08/12.08;</w:t>
      </w:r>
    </w:p>
    <w:p w:rsidR="00EE5273" w:rsidRDefault="00EE5273" w:rsidP="00EE5273">
      <w:pPr>
        <w:pStyle w:val="ab"/>
      </w:pPr>
    </w:p>
    <w:p w:rsidR="00EE5273" w:rsidRPr="00EE5273" w:rsidRDefault="00EE5273" w:rsidP="00EE5273">
      <w:pPr>
        <w:pStyle w:val="ab"/>
        <w:rPr>
          <w:b/>
        </w:rPr>
      </w:pPr>
      <w:r w:rsidRPr="00EE5273">
        <w:rPr>
          <w:b/>
        </w:rPr>
        <w:t>Допълнителни изисквания:</w:t>
      </w:r>
    </w:p>
    <w:p w:rsidR="00EE5273" w:rsidRDefault="00EE5273" w:rsidP="00EE5273">
      <w:pPr>
        <w:pStyle w:val="ab"/>
        <w:numPr>
          <w:ilvl w:val="0"/>
          <w:numId w:val="2"/>
        </w:numPr>
      </w:pPr>
      <w:r>
        <w:t xml:space="preserve"> На всяка една от страните на контейнера да има минимум по една дръжка за захващане; </w:t>
      </w:r>
    </w:p>
    <w:p w:rsidR="00EE5273" w:rsidRDefault="00EE5273" w:rsidP="00EE5273">
      <w:pPr>
        <w:pStyle w:val="ab"/>
        <w:numPr>
          <w:ilvl w:val="0"/>
          <w:numId w:val="2"/>
        </w:numPr>
      </w:pPr>
      <w:r>
        <w:t>Да бъдат оборудвани със светлоотразителни стикери;</w:t>
      </w:r>
    </w:p>
    <w:p w:rsidR="00EE5273" w:rsidRDefault="00EE5273" w:rsidP="00EE5273">
      <w:pPr>
        <w:pStyle w:val="ab"/>
        <w:numPr>
          <w:ilvl w:val="0"/>
          <w:numId w:val="2"/>
        </w:numPr>
      </w:pPr>
      <w:r>
        <w:t>Колелата да бъдат със заварени болтове против кражба;</w:t>
      </w:r>
    </w:p>
    <w:p w:rsidR="00EE5273" w:rsidRDefault="00EE5273" w:rsidP="00EE5273">
      <w:pPr>
        <w:pStyle w:val="ab"/>
        <w:numPr>
          <w:ilvl w:val="0"/>
          <w:numId w:val="2"/>
        </w:numPr>
      </w:pPr>
      <w:r>
        <w:t xml:space="preserve">Конзолите за захващане на ходовите колела да бъдат от стоманена ламарина с дебелина 4,00мм и да са допълнително подсилени; </w:t>
      </w:r>
    </w:p>
    <w:p w:rsidR="00EE5273" w:rsidRDefault="00EE5273" w:rsidP="00EE5273">
      <w:pPr>
        <w:pStyle w:val="ab"/>
        <w:numPr>
          <w:ilvl w:val="0"/>
          <w:numId w:val="2"/>
        </w:numPr>
      </w:pPr>
      <w:r>
        <w:t>Плоските спирални пружини да бъдат скрити, с оглед охраната на труда и да бъдат 4 на брой.</w:t>
      </w:r>
    </w:p>
    <w:p w:rsidR="008A1045" w:rsidRDefault="008A1045" w:rsidP="00EE5273">
      <w:pPr>
        <w:pStyle w:val="ab"/>
      </w:pPr>
    </w:p>
    <w:p w:rsidR="00C24905" w:rsidRDefault="00C24905"/>
    <w:sectPr w:rsidR="00C2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9B" w:rsidRDefault="00CC559B" w:rsidP="008A1045">
      <w:pPr>
        <w:spacing w:after="0" w:line="240" w:lineRule="auto"/>
      </w:pPr>
      <w:r>
        <w:separator/>
      </w:r>
    </w:p>
  </w:endnote>
  <w:endnote w:type="continuationSeparator" w:id="0">
    <w:p w:rsidR="00CC559B" w:rsidRDefault="00CC559B" w:rsidP="008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9B" w:rsidRDefault="00CC559B" w:rsidP="008A1045">
      <w:pPr>
        <w:spacing w:after="0" w:line="240" w:lineRule="auto"/>
      </w:pPr>
      <w:r>
        <w:separator/>
      </w:r>
    </w:p>
  </w:footnote>
  <w:footnote w:type="continuationSeparator" w:id="0">
    <w:p w:rsidR="00CC559B" w:rsidRDefault="00CC559B" w:rsidP="008A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221"/>
    <w:multiLevelType w:val="hybridMultilevel"/>
    <w:tmpl w:val="7912207C"/>
    <w:lvl w:ilvl="0" w:tplc="B2783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C6C"/>
    <w:multiLevelType w:val="hybridMultilevel"/>
    <w:tmpl w:val="B2C4B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7C0"/>
    <w:multiLevelType w:val="hybridMultilevel"/>
    <w:tmpl w:val="B2C4B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6C63"/>
    <w:multiLevelType w:val="hybridMultilevel"/>
    <w:tmpl w:val="B87C22AA"/>
    <w:lvl w:ilvl="0" w:tplc="B27831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E5C58"/>
    <w:multiLevelType w:val="hybridMultilevel"/>
    <w:tmpl w:val="C0D40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50F7"/>
    <w:multiLevelType w:val="hybridMultilevel"/>
    <w:tmpl w:val="AB1A74B6"/>
    <w:lvl w:ilvl="0" w:tplc="B2783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B5433"/>
    <w:multiLevelType w:val="hybridMultilevel"/>
    <w:tmpl w:val="FDDA23F8"/>
    <w:lvl w:ilvl="0" w:tplc="B2783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50"/>
    <w:rsid w:val="0001787C"/>
    <w:rsid w:val="00067548"/>
    <w:rsid w:val="00077700"/>
    <w:rsid w:val="000C4918"/>
    <w:rsid w:val="000E3C50"/>
    <w:rsid w:val="00137E77"/>
    <w:rsid w:val="0021625C"/>
    <w:rsid w:val="002B04B0"/>
    <w:rsid w:val="002B6F9A"/>
    <w:rsid w:val="002E3A3D"/>
    <w:rsid w:val="00325870"/>
    <w:rsid w:val="004037B7"/>
    <w:rsid w:val="0045547C"/>
    <w:rsid w:val="004679B9"/>
    <w:rsid w:val="004A0A47"/>
    <w:rsid w:val="005502B8"/>
    <w:rsid w:val="005542C8"/>
    <w:rsid w:val="005C2255"/>
    <w:rsid w:val="00655E63"/>
    <w:rsid w:val="00792265"/>
    <w:rsid w:val="007C2FB9"/>
    <w:rsid w:val="007D53D7"/>
    <w:rsid w:val="00846664"/>
    <w:rsid w:val="008916E2"/>
    <w:rsid w:val="008943B2"/>
    <w:rsid w:val="008A1045"/>
    <w:rsid w:val="0094422B"/>
    <w:rsid w:val="009A1ABC"/>
    <w:rsid w:val="009B1250"/>
    <w:rsid w:val="009D390F"/>
    <w:rsid w:val="00A27521"/>
    <w:rsid w:val="00A82B39"/>
    <w:rsid w:val="00AA6965"/>
    <w:rsid w:val="00B30BDA"/>
    <w:rsid w:val="00BB03B7"/>
    <w:rsid w:val="00BB41CE"/>
    <w:rsid w:val="00BC6FF1"/>
    <w:rsid w:val="00C24905"/>
    <w:rsid w:val="00C439C2"/>
    <w:rsid w:val="00CA44D9"/>
    <w:rsid w:val="00CC559B"/>
    <w:rsid w:val="00CE64D6"/>
    <w:rsid w:val="00E2333A"/>
    <w:rsid w:val="00E6368C"/>
    <w:rsid w:val="00EE3750"/>
    <w:rsid w:val="00EE5273"/>
    <w:rsid w:val="00F35818"/>
    <w:rsid w:val="00F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2"/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0A47"/>
    <w:pPr>
      <w:pBdr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pBdr>
      <w:shd w:val="clear" w:color="auto" w:fill="CCCCC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A0A47"/>
    <w:pPr>
      <w:pBdr>
        <w:top w:val="single" w:sz="4" w:space="0" w:color="000000" w:themeColor="accent2"/>
        <w:left w:val="single" w:sz="48" w:space="2" w:color="000000" w:themeColor="accent2"/>
        <w:bottom w:val="single" w:sz="4" w:space="0" w:color="000000" w:themeColor="accent2"/>
        <w:right w:val="single" w:sz="4" w:space="4" w:color="0000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A0A47"/>
    <w:pPr>
      <w:pBdr>
        <w:left w:val="single" w:sz="48" w:space="2" w:color="000000" w:themeColor="accent2"/>
        <w:bottom w:val="single" w:sz="4" w:space="0" w:color="0000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A0A47"/>
    <w:pPr>
      <w:pBdr>
        <w:left w:val="single" w:sz="4" w:space="2" w:color="000000" w:themeColor="accent2"/>
        <w:bottom w:val="single" w:sz="4" w:space="2" w:color="0000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A0A47"/>
    <w:pPr>
      <w:pBdr>
        <w:left w:val="dotted" w:sz="4" w:space="2" w:color="000000" w:themeColor="accent2"/>
        <w:bottom w:val="dotted" w:sz="4" w:space="2" w:color="0000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A47"/>
    <w:pPr>
      <w:pBdr>
        <w:bottom w:val="single" w:sz="4" w:space="2" w:color="99999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A47"/>
    <w:pPr>
      <w:pBdr>
        <w:bottom w:val="dotted" w:sz="4" w:space="2" w:color="66666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A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000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A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00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7F"/>
      <w:shd w:val="clear" w:color="auto" w:fill="CCCCCC" w:themeFill="accent2" w:themeFillTint="33"/>
    </w:rPr>
  </w:style>
  <w:style w:type="character" w:customStyle="1" w:styleId="20">
    <w:name w:val="Заглавие 2 Знак"/>
    <w:basedOn w:val="a0"/>
    <w:link w:val="2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30">
    <w:name w:val="Заглавие 3 Знак"/>
    <w:basedOn w:val="a0"/>
    <w:link w:val="3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40">
    <w:name w:val="Заглавие 4 Знак"/>
    <w:basedOn w:val="a0"/>
    <w:link w:val="4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50">
    <w:name w:val="Заглавие 5 Знак"/>
    <w:basedOn w:val="a0"/>
    <w:link w:val="5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0A47"/>
    <w:rPr>
      <w:b/>
      <w:bCs/>
      <w:color w:val="000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0A47"/>
    <w:pPr>
      <w:pBdr>
        <w:top w:val="single" w:sz="48" w:space="0" w:color="000000" w:themeColor="accent2"/>
        <w:bottom w:val="single" w:sz="48" w:space="0" w:color="000000" w:themeColor="accent2"/>
      </w:pBdr>
      <w:shd w:val="clear" w:color="auto" w:fill="0000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A0A47"/>
    <w:rPr>
      <w:rFonts w:asciiTheme="majorHAnsi" w:eastAsiaTheme="majorEastAsia" w:hAnsiTheme="majorHAnsi" w:cstheme="majorBidi"/>
      <w:i/>
      <w:iCs/>
      <w:color w:val="000000" w:themeColor="background1"/>
      <w:spacing w:val="10"/>
      <w:sz w:val="48"/>
      <w:szCs w:val="48"/>
      <w:shd w:val="clear" w:color="auto" w:fill="000000" w:themeFill="accent2"/>
    </w:rPr>
  </w:style>
  <w:style w:type="paragraph" w:styleId="a6">
    <w:name w:val="Subtitle"/>
    <w:basedOn w:val="a"/>
    <w:next w:val="a"/>
    <w:link w:val="a7"/>
    <w:uiPriority w:val="11"/>
    <w:qFormat/>
    <w:rsid w:val="004A0A47"/>
    <w:pPr>
      <w:pBdr>
        <w:bottom w:val="dotted" w:sz="8" w:space="10" w:color="0000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A0A47"/>
    <w:rPr>
      <w:rFonts w:asciiTheme="majorHAnsi" w:eastAsiaTheme="majorEastAsia" w:hAnsiTheme="majorHAnsi" w:cstheme="majorBidi"/>
      <w:i/>
      <w:iCs/>
      <w:color w:val="000000" w:themeColor="accent2" w:themeShade="7F"/>
      <w:sz w:val="24"/>
      <w:szCs w:val="24"/>
    </w:rPr>
  </w:style>
  <w:style w:type="character" w:styleId="a8">
    <w:name w:val="Strong"/>
    <w:uiPriority w:val="22"/>
    <w:qFormat/>
    <w:rsid w:val="004A0A47"/>
    <w:rPr>
      <w:b/>
      <w:bCs/>
      <w:spacing w:val="0"/>
    </w:rPr>
  </w:style>
  <w:style w:type="character" w:styleId="a9">
    <w:name w:val="Emphasis"/>
    <w:uiPriority w:val="20"/>
    <w:qFormat/>
    <w:rsid w:val="004A0A47"/>
    <w:rPr>
      <w:rFonts w:asciiTheme="majorHAnsi" w:eastAsiaTheme="majorEastAsia" w:hAnsiTheme="majorHAnsi" w:cstheme="majorBidi"/>
      <w:b/>
      <w:bCs/>
      <w:i/>
      <w:iCs/>
      <w:color w:val="000000" w:themeColor="accent2"/>
      <w:bdr w:val="single" w:sz="18" w:space="0" w:color="CCCCCC" w:themeColor="accent2" w:themeTint="33"/>
      <w:shd w:val="clear" w:color="auto" w:fill="CCCCCC" w:themeFill="accent2" w:themeFillTint="33"/>
    </w:rPr>
  </w:style>
  <w:style w:type="paragraph" w:styleId="aa">
    <w:name w:val="No Spacing"/>
    <w:basedOn w:val="a"/>
    <w:uiPriority w:val="1"/>
    <w:qFormat/>
    <w:rsid w:val="004A0A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0A4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0A47"/>
    <w:rPr>
      <w:i w:val="0"/>
      <w:iCs w:val="0"/>
      <w:color w:val="000000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4A0A47"/>
    <w:rPr>
      <w:color w:val="000000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0A47"/>
    <w:pPr>
      <w:pBdr>
        <w:top w:val="dotted" w:sz="8" w:space="10" w:color="000000" w:themeColor="accent2"/>
        <w:bottom w:val="dotted" w:sz="8" w:space="10" w:color="0000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0000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4A0A47"/>
    <w:rPr>
      <w:rFonts w:asciiTheme="majorHAnsi" w:eastAsiaTheme="majorEastAsia" w:hAnsiTheme="majorHAnsi" w:cstheme="majorBidi"/>
      <w:b/>
      <w:bCs/>
      <w:i/>
      <w:iCs/>
      <w:color w:val="000000" w:themeColor="accent2"/>
      <w:sz w:val="20"/>
      <w:szCs w:val="20"/>
    </w:rPr>
  </w:style>
  <w:style w:type="character" w:styleId="af0">
    <w:name w:val="Subtle Emphasis"/>
    <w:uiPriority w:val="19"/>
    <w:qFormat/>
    <w:rsid w:val="004A0A4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styleId="af1">
    <w:name w:val="Intense Emphasis"/>
    <w:uiPriority w:val="21"/>
    <w:qFormat/>
    <w:rsid w:val="004A0A47"/>
    <w:rPr>
      <w:rFonts w:asciiTheme="majorHAnsi" w:eastAsiaTheme="majorEastAsia" w:hAnsiTheme="majorHAnsi" w:cstheme="majorBidi"/>
      <w:b/>
      <w:bCs/>
      <w:i/>
      <w:iCs/>
      <w:dstrike w:val="0"/>
      <w:color w:val="000000" w:themeColor="background1"/>
      <w:bdr w:val="single" w:sz="18" w:space="0" w:color="000000" w:themeColor="accent2"/>
      <w:shd w:val="clear" w:color="auto" w:fill="000000" w:themeFill="accent2"/>
      <w:vertAlign w:val="baseline"/>
    </w:rPr>
  </w:style>
  <w:style w:type="character" w:styleId="af2">
    <w:name w:val="Subtle Reference"/>
    <w:uiPriority w:val="31"/>
    <w:qFormat/>
    <w:rsid w:val="004A0A47"/>
    <w:rPr>
      <w:i/>
      <w:iCs/>
      <w:smallCaps/>
      <w:color w:val="000000" w:themeColor="accent2"/>
      <w:u w:color="000000" w:themeColor="accent2"/>
    </w:rPr>
  </w:style>
  <w:style w:type="character" w:styleId="af3">
    <w:name w:val="Intense Reference"/>
    <w:uiPriority w:val="32"/>
    <w:qFormat/>
    <w:rsid w:val="004A0A47"/>
    <w:rPr>
      <w:b/>
      <w:bCs/>
      <w:i/>
      <w:iCs/>
      <w:smallCaps/>
      <w:color w:val="000000" w:themeColor="accent2"/>
      <w:u w:color="000000" w:themeColor="accent2"/>
    </w:rPr>
  </w:style>
  <w:style w:type="character" w:styleId="af4">
    <w:name w:val="Book Title"/>
    <w:uiPriority w:val="33"/>
    <w:qFormat/>
    <w:rsid w:val="004A0A47"/>
    <w:rPr>
      <w:rFonts w:asciiTheme="majorHAnsi" w:eastAsiaTheme="majorEastAsia" w:hAnsiTheme="majorHAnsi" w:cstheme="majorBidi"/>
      <w:b/>
      <w:bCs/>
      <w:i/>
      <w:iCs/>
      <w:smallCaps/>
      <w:color w:val="000000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0A47"/>
    <w:pPr>
      <w:outlineLvl w:val="9"/>
    </w:pPr>
    <w:rPr>
      <w:lang w:bidi="en-US"/>
    </w:rPr>
  </w:style>
  <w:style w:type="paragraph" w:styleId="af6">
    <w:name w:val="endnote text"/>
    <w:basedOn w:val="a"/>
    <w:link w:val="af7"/>
    <w:uiPriority w:val="99"/>
    <w:semiHidden/>
    <w:unhideWhenUsed/>
    <w:rsid w:val="008A1045"/>
    <w:pPr>
      <w:spacing w:after="0" w:line="240" w:lineRule="auto"/>
    </w:pPr>
  </w:style>
  <w:style w:type="character" w:customStyle="1" w:styleId="af7">
    <w:name w:val="Текст на бележка в края Знак"/>
    <w:basedOn w:val="a0"/>
    <w:link w:val="af6"/>
    <w:uiPriority w:val="99"/>
    <w:semiHidden/>
    <w:rsid w:val="008A1045"/>
    <w:rPr>
      <w:rFonts w:eastAsiaTheme="minorEastAsia"/>
      <w:i/>
      <w:iCs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A1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2"/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0A47"/>
    <w:pPr>
      <w:pBdr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pBdr>
      <w:shd w:val="clear" w:color="auto" w:fill="CCCCC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A0A47"/>
    <w:pPr>
      <w:pBdr>
        <w:top w:val="single" w:sz="4" w:space="0" w:color="000000" w:themeColor="accent2"/>
        <w:left w:val="single" w:sz="48" w:space="2" w:color="000000" w:themeColor="accent2"/>
        <w:bottom w:val="single" w:sz="4" w:space="0" w:color="000000" w:themeColor="accent2"/>
        <w:right w:val="single" w:sz="4" w:space="4" w:color="0000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A0A47"/>
    <w:pPr>
      <w:pBdr>
        <w:left w:val="single" w:sz="48" w:space="2" w:color="000000" w:themeColor="accent2"/>
        <w:bottom w:val="single" w:sz="4" w:space="0" w:color="0000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A0A47"/>
    <w:pPr>
      <w:pBdr>
        <w:left w:val="single" w:sz="4" w:space="2" w:color="000000" w:themeColor="accent2"/>
        <w:bottom w:val="single" w:sz="4" w:space="2" w:color="0000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A0A47"/>
    <w:pPr>
      <w:pBdr>
        <w:left w:val="dotted" w:sz="4" w:space="2" w:color="000000" w:themeColor="accent2"/>
        <w:bottom w:val="dotted" w:sz="4" w:space="2" w:color="0000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A47"/>
    <w:pPr>
      <w:pBdr>
        <w:bottom w:val="single" w:sz="4" w:space="2" w:color="99999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A47"/>
    <w:pPr>
      <w:pBdr>
        <w:bottom w:val="dotted" w:sz="4" w:space="2" w:color="66666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A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000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A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00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7F"/>
      <w:shd w:val="clear" w:color="auto" w:fill="CCCCCC" w:themeFill="accent2" w:themeFillTint="33"/>
    </w:rPr>
  </w:style>
  <w:style w:type="character" w:customStyle="1" w:styleId="20">
    <w:name w:val="Заглавие 2 Знак"/>
    <w:basedOn w:val="a0"/>
    <w:link w:val="2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30">
    <w:name w:val="Заглавие 3 Знак"/>
    <w:basedOn w:val="a0"/>
    <w:link w:val="3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40">
    <w:name w:val="Заглавие 4 Знак"/>
    <w:basedOn w:val="a0"/>
    <w:link w:val="4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50">
    <w:name w:val="Заглавие 5 Знак"/>
    <w:basedOn w:val="a0"/>
    <w:link w:val="5"/>
    <w:uiPriority w:val="9"/>
    <w:rsid w:val="004A0A4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A0A47"/>
    <w:rPr>
      <w:rFonts w:asciiTheme="majorHAnsi" w:eastAsiaTheme="majorEastAsia" w:hAnsiTheme="majorHAnsi" w:cstheme="majorBidi"/>
      <w:i/>
      <w:iCs/>
      <w:color w:val="0000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0A47"/>
    <w:rPr>
      <w:b/>
      <w:bCs/>
      <w:color w:val="000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0A47"/>
    <w:pPr>
      <w:pBdr>
        <w:top w:val="single" w:sz="48" w:space="0" w:color="000000" w:themeColor="accent2"/>
        <w:bottom w:val="single" w:sz="48" w:space="0" w:color="000000" w:themeColor="accent2"/>
      </w:pBdr>
      <w:shd w:val="clear" w:color="auto" w:fill="0000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A0A47"/>
    <w:rPr>
      <w:rFonts w:asciiTheme="majorHAnsi" w:eastAsiaTheme="majorEastAsia" w:hAnsiTheme="majorHAnsi" w:cstheme="majorBidi"/>
      <w:i/>
      <w:iCs/>
      <w:color w:val="000000" w:themeColor="background1"/>
      <w:spacing w:val="10"/>
      <w:sz w:val="48"/>
      <w:szCs w:val="48"/>
      <w:shd w:val="clear" w:color="auto" w:fill="000000" w:themeFill="accent2"/>
    </w:rPr>
  </w:style>
  <w:style w:type="paragraph" w:styleId="a6">
    <w:name w:val="Subtitle"/>
    <w:basedOn w:val="a"/>
    <w:next w:val="a"/>
    <w:link w:val="a7"/>
    <w:uiPriority w:val="11"/>
    <w:qFormat/>
    <w:rsid w:val="004A0A47"/>
    <w:pPr>
      <w:pBdr>
        <w:bottom w:val="dotted" w:sz="8" w:space="10" w:color="0000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A0A47"/>
    <w:rPr>
      <w:rFonts w:asciiTheme="majorHAnsi" w:eastAsiaTheme="majorEastAsia" w:hAnsiTheme="majorHAnsi" w:cstheme="majorBidi"/>
      <w:i/>
      <w:iCs/>
      <w:color w:val="000000" w:themeColor="accent2" w:themeShade="7F"/>
      <w:sz w:val="24"/>
      <w:szCs w:val="24"/>
    </w:rPr>
  </w:style>
  <w:style w:type="character" w:styleId="a8">
    <w:name w:val="Strong"/>
    <w:uiPriority w:val="22"/>
    <w:qFormat/>
    <w:rsid w:val="004A0A47"/>
    <w:rPr>
      <w:b/>
      <w:bCs/>
      <w:spacing w:val="0"/>
    </w:rPr>
  </w:style>
  <w:style w:type="character" w:styleId="a9">
    <w:name w:val="Emphasis"/>
    <w:uiPriority w:val="20"/>
    <w:qFormat/>
    <w:rsid w:val="004A0A47"/>
    <w:rPr>
      <w:rFonts w:asciiTheme="majorHAnsi" w:eastAsiaTheme="majorEastAsia" w:hAnsiTheme="majorHAnsi" w:cstheme="majorBidi"/>
      <w:b/>
      <w:bCs/>
      <w:i/>
      <w:iCs/>
      <w:color w:val="000000" w:themeColor="accent2"/>
      <w:bdr w:val="single" w:sz="18" w:space="0" w:color="CCCCCC" w:themeColor="accent2" w:themeTint="33"/>
      <w:shd w:val="clear" w:color="auto" w:fill="CCCCCC" w:themeFill="accent2" w:themeFillTint="33"/>
    </w:rPr>
  </w:style>
  <w:style w:type="paragraph" w:styleId="aa">
    <w:name w:val="No Spacing"/>
    <w:basedOn w:val="a"/>
    <w:uiPriority w:val="1"/>
    <w:qFormat/>
    <w:rsid w:val="004A0A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0A4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0A47"/>
    <w:rPr>
      <w:i w:val="0"/>
      <w:iCs w:val="0"/>
      <w:color w:val="000000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4A0A47"/>
    <w:rPr>
      <w:color w:val="000000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0A47"/>
    <w:pPr>
      <w:pBdr>
        <w:top w:val="dotted" w:sz="8" w:space="10" w:color="000000" w:themeColor="accent2"/>
        <w:bottom w:val="dotted" w:sz="8" w:space="10" w:color="0000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0000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4A0A47"/>
    <w:rPr>
      <w:rFonts w:asciiTheme="majorHAnsi" w:eastAsiaTheme="majorEastAsia" w:hAnsiTheme="majorHAnsi" w:cstheme="majorBidi"/>
      <w:b/>
      <w:bCs/>
      <w:i/>
      <w:iCs/>
      <w:color w:val="000000" w:themeColor="accent2"/>
      <w:sz w:val="20"/>
      <w:szCs w:val="20"/>
    </w:rPr>
  </w:style>
  <w:style w:type="character" w:styleId="af0">
    <w:name w:val="Subtle Emphasis"/>
    <w:uiPriority w:val="19"/>
    <w:qFormat/>
    <w:rsid w:val="004A0A4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styleId="af1">
    <w:name w:val="Intense Emphasis"/>
    <w:uiPriority w:val="21"/>
    <w:qFormat/>
    <w:rsid w:val="004A0A47"/>
    <w:rPr>
      <w:rFonts w:asciiTheme="majorHAnsi" w:eastAsiaTheme="majorEastAsia" w:hAnsiTheme="majorHAnsi" w:cstheme="majorBidi"/>
      <w:b/>
      <w:bCs/>
      <w:i/>
      <w:iCs/>
      <w:dstrike w:val="0"/>
      <w:color w:val="000000" w:themeColor="background1"/>
      <w:bdr w:val="single" w:sz="18" w:space="0" w:color="000000" w:themeColor="accent2"/>
      <w:shd w:val="clear" w:color="auto" w:fill="000000" w:themeFill="accent2"/>
      <w:vertAlign w:val="baseline"/>
    </w:rPr>
  </w:style>
  <w:style w:type="character" w:styleId="af2">
    <w:name w:val="Subtle Reference"/>
    <w:uiPriority w:val="31"/>
    <w:qFormat/>
    <w:rsid w:val="004A0A47"/>
    <w:rPr>
      <w:i/>
      <w:iCs/>
      <w:smallCaps/>
      <w:color w:val="000000" w:themeColor="accent2"/>
      <w:u w:color="000000" w:themeColor="accent2"/>
    </w:rPr>
  </w:style>
  <w:style w:type="character" w:styleId="af3">
    <w:name w:val="Intense Reference"/>
    <w:uiPriority w:val="32"/>
    <w:qFormat/>
    <w:rsid w:val="004A0A47"/>
    <w:rPr>
      <w:b/>
      <w:bCs/>
      <w:i/>
      <w:iCs/>
      <w:smallCaps/>
      <w:color w:val="000000" w:themeColor="accent2"/>
      <w:u w:color="000000" w:themeColor="accent2"/>
    </w:rPr>
  </w:style>
  <w:style w:type="character" w:styleId="af4">
    <w:name w:val="Book Title"/>
    <w:uiPriority w:val="33"/>
    <w:qFormat/>
    <w:rsid w:val="004A0A47"/>
    <w:rPr>
      <w:rFonts w:asciiTheme="majorHAnsi" w:eastAsiaTheme="majorEastAsia" w:hAnsiTheme="majorHAnsi" w:cstheme="majorBidi"/>
      <w:b/>
      <w:bCs/>
      <w:i/>
      <w:iCs/>
      <w:smallCaps/>
      <w:color w:val="000000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0A47"/>
    <w:pPr>
      <w:outlineLvl w:val="9"/>
    </w:pPr>
    <w:rPr>
      <w:lang w:bidi="en-US"/>
    </w:rPr>
  </w:style>
  <w:style w:type="paragraph" w:styleId="af6">
    <w:name w:val="endnote text"/>
    <w:basedOn w:val="a"/>
    <w:link w:val="af7"/>
    <w:uiPriority w:val="99"/>
    <w:semiHidden/>
    <w:unhideWhenUsed/>
    <w:rsid w:val="008A1045"/>
    <w:pPr>
      <w:spacing w:after="0" w:line="240" w:lineRule="auto"/>
    </w:pPr>
  </w:style>
  <w:style w:type="character" w:customStyle="1" w:styleId="af7">
    <w:name w:val="Текст на бележка в края Знак"/>
    <w:basedOn w:val="a0"/>
    <w:link w:val="af6"/>
    <w:uiPriority w:val="99"/>
    <w:semiHidden/>
    <w:rsid w:val="008A1045"/>
    <w:rPr>
      <w:rFonts w:eastAsiaTheme="minorEastAsia"/>
      <w:i/>
      <w:iCs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A1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D958-7129-4DB8-B840-9245F30A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2017-04-13T08:40:00Z</cp:lastPrinted>
  <dcterms:created xsi:type="dcterms:W3CDTF">2017-04-13T06:21:00Z</dcterms:created>
  <dcterms:modified xsi:type="dcterms:W3CDTF">2018-03-15T08:42:00Z</dcterms:modified>
</cp:coreProperties>
</file>